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F6C" w:rsidRPr="00E46E0A" w:rsidRDefault="00146F6C" w:rsidP="00E46E0A">
      <w:pPr>
        <w:spacing w:after="72" w:line="240" w:lineRule="auto"/>
        <w:ind w:right="2689"/>
        <w:jc w:val="left"/>
        <w:rPr>
          <w:rFonts w:ascii="Tahoma" w:hAnsi="Tahoma" w:cs="Tahoma"/>
          <w:b/>
          <w:sz w:val="21"/>
          <w:szCs w:val="21"/>
        </w:rPr>
      </w:pPr>
      <w:r w:rsidRPr="00E46E0A">
        <w:rPr>
          <w:rFonts w:ascii="Tahoma" w:hAnsi="Tahoma" w:cs="Tahoma"/>
          <w:b/>
          <w:sz w:val="21"/>
          <w:szCs w:val="21"/>
        </w:rPr>
        <w:t>The Bay Learning Trust</w:t>
      </w:r>
    </w:p>
    <w:p w:rsidR="00146F6C" w:rsidRPr="00E46E0A" w:rsidRDefault="00146F6C" w:rsidP="00E46E0A">
      <w:pPr>
        <w:spacing w:after="72" w:line="240" w:lineRule="auto"/>
        <w:ind w:right="2689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b/>
          <w:sz w:val="21"/>
          <w:szCs w:val="21"/>
        </w:rPr>
        <w:t xml:space="preserve">Gender Pay Gap Report </w:t>
      </w:r>
    </w:p>
    <w:p w:rsidR="00146F6C" w:rsidRPr="00E46E0A" w:rsidRDefault="00146F6C" w:rsidP="00146F6C">
      <w:pPr>
        <w:spacing w:after="0" w:line="259" w:lineRule="auto"/>
        <w:ind w:left="86" w:right="0" w:firstLine="0"/>
        <w:jc w:val="center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b/>
          <w:sz w:val="21"/>
          <w:szCs w:val="21"/>
        </w:rPr>
        <w:t xml:space="preserve"> </w:t>
      </w:r>
    </w:p>
    <w:p w:rsidR="00146F6C" w:rsidRDefault="002C3C5E" w:rsidP="00146F6C">
      <w:pPr>
        <w:spacing w:after="0" w:line="259" w:lineRule="auto"/>
        <w:ind w:left="-5" w:right="0"/>
        <w:jc w:val="lef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Introduction</w:t>
      </w:r>
    </w:p>
    <w:p w:rsidR="002C3C5E" w:rsidRDefault="002C3C5E" w:rsidP="00146F6C">
      <w:pPr>
        <w:spacing w:after="0" w:line="259" w:lineRule="auto"/>
        <w:ind w:left="-5" w:right="0"/>
        <w:jc w:val="left"/>
        <w:rPr>
          <w:rFonts w:ascii="Tahoma" w:hAnsi="Tahoma" w:cs="Tahoma"/>
          <w:b/>
          <w:sz w:val="21"/>
          <w:szCs w:val="21"/>
        </w:rPr>
      </w:pPr>
    </w:p>
    <w:p w:rsidR="00146F6C" w:rsidRPr="00E46E0A" w:rsidRDefault="00146F6C" w:rsidP="00146F6C">
      <w:pPr>
        <w:ind w:left="-5" w:right="0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As a Multi Academy Trust with over </w:t>
      </w:r>
      <w:r w:rsidR="00C6431F" w:rsidRPr="00E46E0A">
        <w:rPr>
          <w:rFonts w:ascii="Tahoma" w:hAnsi="Tahoma" w:cs="Tahoma"/>
          <w:sz w:val="21"/>
          <w:szCs w:val="21"/>
        </w:rPr>
        <w:t>250 employees The Bay Learning T</w:t>
      </w:r>
      <w:r w:rsidRPr="00E46E0A">
        <w:rPr>
          <w:rFonts w:ascii="Tahoma" w:hAnsi="Tahoma" w:cs="Tahoma"/>
          <w:sz w:val="21"/>
          <w:szCs w:val="21"/>
        </w:rPr>
        <w:t xml:space="preserve">rust </w:t>
      </w:r>
      <w:r w:rsidR="00C6431F" w:rsidRPr="00E46E0A">
        <w:rPr>
          <w:rFonts w:ascii="Tahoma" w:hAnsi="Tahoma" w:cs="Tahoma"/>
          <w:sz w:val="21"/>
          <w:szCs w:val="21"/>
        </w:rPr>
        <w:t>is</w:t>
      </w:r>
      <w:r w:rsidRPr="00E46E0A">
        <w:rPr>
          <w:rFonts w:ascii="Tahoma" w:hAnsi="Tahoma" w:cs="Tahoma"/>
          <w:sz w:val="21"/>
          <w:szCs w:val="21"/>
        </w:rPr>
        <w:t xml:space="preserve"> required to publish our Gender Pay Gap in line with the Equality Act 2010 (Specific Duties and Public Authorities) Regulations 2017. </w:t>
      </w:r>
    </w:p>
    <w:p w:rsidR="00C6431F" w:rsidRPr="00E46E0A" w:rsidRDefault="00C6431F" w:rsidP="00146F6C">
      <w:pPr>
        <w:ind w:left="-5" w:right="0"/>
        <w:rPr>
          <w:rFonts w:ascii="Tahoma" w:hAnsi="Tahoma" w:cs="Tahoma"/>
          <w:sz w:val="21"/>
          <w:szCs w:val="21"/>
        </w:rPr>
      </w:pPr>
    </w:p>
    <w:p w:rsidR="00C47784" w:rsidRPr="00E46E0A" w:rsidRDefault="00C47784" w:rsidP="00146F6C">
      <w:pPr>
        <w:ind w:left="-5" w:right="0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On the snapshot date of </w:t>
      </w:r>
      <w:r w:rsidR="006E7F71" w:rsidRPr="00E46E0A">
        <w:rPr>
          <w:rFonts w:ascii="Tahoma" w:hAnsi="Tahoma" w:cs="Tahoma"/>
          <w:sz w:val="21"/>
          <w:szCs w:val="21"/>
        </w:rPr>
        <w:t>31 March 202</w:t>
      </w:r>
      <w:r w:rsidR="006E7F71">
        <w:rPr>
          <w:rFonts w:ascii="Tahoma" w:hAnsi="Tahoma" w:cs="Tahoma"/>
          <w:sz w:val="21"/>
          <w:szCs w:val="21"/>
        </w:rPr>
        <w:t>1,</w:t>
      </w:r>
      <w:r w:rsidR="00E82A81">
        <w:rPr>
          <w:rFonts w:ascii="Tahoma" w:hAnsi="Tahoma" w:cs="Tahoma"/>
          <w:sz w:val="21"/>
          <w:szCs w:val="21"/>
        </w:rPr>
        <w:t xml:space="preserve"> The Bay Learning Trust had </w:t>
      </w:r>
      <w:r w:rsidR="00F60B74">
        <w:rPr>
          <w:rFonts w:ascii="Tahoma" w:hAnsi="Tahoma" w:cs="Tahoma"/>
          <w:sz w:val="21"/>
          <w:szCs w:val="21"/>
        </w:rPr>
        <w:t>593</w:t>
      </w:r>
      <w:r w:rsidRPr="00E46E0A">
        <w:rPr>
          <w:rFonts w:ascii="Tahoma" w:hAnsi="Tahoma" w:cs="Tahoma"/>
          <w:sz w:val="21"/>
          <w:szCs w:val="21"/>
        </w:rPr>
        <w:t xml:space="preserve"> full-pay releva</w:t>
      </w:r>
      <w:r w:rsidR="00E46E0A">
        <w:rPr>
          <w:rFonts w:ascii="Tahoma" w:hAnsi="Tahoma" w:cs="Tahoma"/>
          <w:sz w:val="21"/>
          <w:szCs w:val="21"/>
        </w:rPr>
        <w:t>nt employees. Where employees he</w:t>
      </w:r>
      <w:r w:rsidRPr="00E46E0A">
        <w:rPr>
          <w:rFonts w:ascii="Tahoma" w:hAnsi="Tahoma" w:cs="Tahoma"/>
          <w:sz w:val="21"/>
          <w:szCs w:val="21"/>
        </w:rPr>
        <w:t>ld two or more posts, each post has been treated separately, for the purposes of the calculations.</w:t>
      </w:r>
    </w:p>
    <w:p w:rsidR="00C47784" w:rsidRPr="00E46E0A" w:rsidRDefault="00C47784" w:rsidP="00146F6C">
      <w:pPr>
        <w:ind w:left="-5" w:right="0"/>
        <w:rPr>
          <w:rFonts w:ascii="Tahoma" w:hAnsi="Tahoma" w:cs="Tahoma"/>
          <w:sz w:val="21"/>
          <w:szCs w:val="21"/>
        </w:rPr>
      </w:pPr>
    </w:p>
    <w:p w:rsidR="00C47784" w:rsidRPr="00E46E0A" w:rsidRDefault="00C47784" w:rsidP="00146F6C">
      <w:pPr>
        <w:ind w:left="-5" w:right="0"/>
        <w:rPr>
          <w:rFonts w:ascii="Tahoma" w:hAnsi="Tahoma" w:cs="Tahoma"/>
          <w:b/>
          <w:sz w:val="21"/>
          <w:szCs w:val="21"/>
        </w:rPr>
      </w:pPr>
      <w:r w:rsidRPr="00E46E0A">
        <w:rPr>
          <w:rFonts w:ascii="Tahoma" w:hAnsi="Tahoma" w:cs="Tahoma"/>
          <w:b/>
          <w:sz w:val="21"/>
          <w:szCs w:val="21"/>
        </w:rPr>
        <w:t>The breakdown by gender for full-pay relevant employees</w:t>
      </w:r>
      <w:r w:rsidR="0019702F" w:rsidRPr="00E46E0A">
        <w:rPr>
          <w:rFonts w:ascii="Tahoma" w:hAnsi="Tahoma" w:cs="Tahoma"/>
          <w:b/>
          <w:sz w:val="21"/>
          <w:szCs w:val="21"/>
        </w:rPr>
        <w:t xml:space="preserve"> </w:t>
      </w:r>
    </w:p>
    <w:p w:rsidR="00C47784" w:rsidRPr="00E46E0A" w:rsidRDefault="00C47784" w:rsidP="00146F6C">
      <w:pPr>
        <w:ind w:left="-5" w:right="0"/>
        <w:rPr>
          <w:rFonts w:ascii="Tahoma" w:hAnsi="Tahoma" w:cs="Tahoma"/>
          <w:sz w:val="21"/>
          <w:szCs w:val="21"/>
        </w:rPr>
      </w:pPr>
    </w:p>
    <w:p w:rsidR="00C6431F" w:rsidRPr="00E46E0A" w:rsidRDefault="00C6431F" w:rsidP="00E46E0A">
      <w:pPr>
        <w:pStyle w:val="ListParagraph"/>
        <w:numPr>
          <w:ilvl w:val="0"/>
          <w:numId w:val="3"/>
        </w:numPr>
        <w:ind w:right="0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>4</w:t>
      </w:r>
      <w:r w:rsidR="00F60B74">
        <w:rPr>
          <w:rFonts w:ascii="Tahoma" w:hAnsi="Tahoma" w:cs="Tahoma"/>
          <w:sz w:val="21"/>
          <w:szCs w:val="21"/>
        </w:rPr>
        <w:t>21</w:t>
      </w:r>
      <w:r w:rsidRPr="00E46E0A">
        <w:rPr>
          <w:rFonts w:ascii="Tahoma" w:hAnsi="Tahoma" w:cs="Tahoma"/>
          <w:sz w:val="21"/>
          <w:szCs w:val="21"/>
        </w:rPr>
        <w:t xml:space="preserve"> female employees</w:t>
      </w:r>
      <w:r w:rsidR="00C47784" w:rsidRPr="00E46E0A">
        <w:rPr>
          <w:rFonts w:ascii="Tahoma" w:hAnsi="Tahoma" w:cs="Tahoma"/>
          <w:sz w:val="21"/>
          <w:szCs w:val="21"/>
        </w:rPr>
        <w:t xml:space="preserve"> (</w:t>
      </w:r>
      <w:r w:rsidR="00F60B74">
        <w:rPr>
          <w:rFonts w:ascii="Tahoma" w:hAnsi="Tahoma" w:cs="Tahoma"/>
          <w:sz w:val="21"/>
          <w:szCs w:val="21"/>
        </w:rPr>
        <w:t>71.0%</w:t>
      </w:r>
      <w:r w:rsidR="00C47784" w:rsidRPr="00E46E0A">
        <w:rPr>
          <w:rFonts w:ascii="Tahoma" w:hAnsi="Tahoma" w:cs="Tahoma"/>
          <w:sz w:val="21"/>
          <w:szCs w:val="21"/>
        </w:rPr>
        <w:t>)</w:t>
      </w:r>
    </w:p>
    <w:p w:rsidR="00C47784" w:rsidRPr="00E46E0A" w:rsidRDefault="00F60B74" w:rsidP="00E46E0A">
      <w:pPr>
        <w:pStyle w:val="ListParagraph"/>
        <w:numPr>
          <w:ilvl w:val="0"/>
          <w:numId w:val="3"/>
        </w:numPr>
        <w:ind w:right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172</w:t>
      </w:r>
      <w:r w:rsidR="00C47784" w:rsidRPr="00E46E0A">
        <w:rPr>
          <w:rFonts w:ascii="Tahoma" w:hAnsi="Tahoma" w:cs="Tahoma"/>
          <w:sz w:val="21"/>
          <w:szCs w:val="21"/>
        </w:rPr>
        <w:t xml:space="preserve"> male employees (</w:t>
      </w:r>
      <w:r>
        <w:rPr>
          <w:rFonts w:ascii="Tahoma" w:hAnsi="Tahoma" w:cs="Tahoma"/>
          <w:sz w:val="21"/>
          <w:szCs w:val="21"/>
        </w:rPr>
        <w:t>29.0</w:t>
      </w:r>
      <w:r w:rsidR="00C47784" w:rsidRPr="00E46E0A">
        <w:rPr>
          <w:rFonts w:ascii="Tahoma" w:hAnsi="Tahoma" w:cs="Tahoma"/>
          <w:sz w:val="21"/>
          <w:szCs w:val="21"/>
        </w:rPr>
        <w:t>%)</w:t>
      </w:r>
    </w:p>
    <w:p w:rsidR="00C47784" w:rsidRPr="00E46E0A" w:rsidRDefault="00C47784" w:rsidP="00C47784">
      <w:pPr>
        <w:pStyle w:val="ListParagraph"/>
        <w:ind w:left="705" w:right="0" w:firstLine="0"/>
        <w:rPr>
          <w:rFonts w:ascii="Tahoma" w:hAnsi="Tahoma" w:cs="Tahoma"/>
          <w:sz w:val="21"/>
          <w:szCs w:val="21"/>
        </w:rPr>
      </w:pPr>
    </w:p>
    <w:p w:rsidR="00146F6C" w:rsidRPr="00E46E0A" w:rsidRDefault="00146F6C" w:rsidP="00C47784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b/>
          <w:sz w:val="21"/>
          <w:szCs w:val="21"/>
        </w:rPr>
        <w:t xml:space="preserve">The </w:t>
      </w:r>
      <w:r w:rsidR="00E46E0A">
        <w:rPr>
          <w:rFonts w:ascii="Tahoma" w:hAnsi="Tahoma" w:cs="Tahoma"/>
          <w:b/>
          <w:sz w:val="21"/>
          <w:szCs w:val="21"/>
        </w:rPr>
        <w:t>Mean and Median Gender Pay Gap</w:t>
      </w:r>
    </w:p>
    <w:p w:rsidR="00146F6C" w:rsidRPr="00E46E0A" w:rsidRDefault="00146F6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 </w:t>
      </w:r>
    </w:p>
    <w:p w:rsidR="0019702F" w:rsidRPr="00E46E0A" w:rsidRDefault="00146F6C" w:rsidP="00E46E0A">
      <w:pPr>
        <w:pStyle w:val="ListParagraph"/>
        <w:numPr>
          <w:ilvl w:val="0"/>
          <w:numId w:val="4"/>
        </w:numPr>
        <w:spacing w:after="0" w:line="259" w:lineRule="auto"/>
        <w:ind w:right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The Mean Gender Pay Gap is </w:t>
      </w:r>
      <w:r w:rsidR="003C6EE4">
        <w:rPr>
          <w:rFonts w:ascii="Tahoma" w:hAnsi="Tahoma" w:cs="Tahoma"/>
          <w:sz w:val="21"/>
          <w:szCs w:val="21"/>
        </w:rPr>
        <w:t>16.</w:t>
      </w:r>
      <w:r w:rsidR="00C2640F">
        <w:rPr>
          <w:rFonts w:ascii="Tahoma" w:hAnsi="Tahoma" w:cs="Tahoma"/>
          <w:sz w:val="21"/>
          <w:szCs w:val="21"/>
        </w:rPr>
        <w:t>5</w:t>
      </w:r>
      <w:r w:rsidRPr="00E46E0A">
        <w:rPr>
          <w:rFonts w:ascii="Tahoma" w:hAnsi="Tahoma" w:cs="Tahoma"/>
          <w:sz w:val="21"/>
          <w:szCs w:val="21"/>
        </w:rPr>
        <w:t>%</w:t>
      </w:r>
      <w:r w:rsidR="0019702F" w:rsidRPr="00E46E0A">
        <w:rPr>
          <w:rFonts w:ascii="Tahoma" w:hAnsi="Tahoma" w:cs="Tahoma"/>
          <w:sz w:val="21"/>
          <w:szCs w:val="21"/>
        </w:rPr>
        <w:t xml:space="preserve"> </w:t>
      </w:r>
    </w:p>
    <w:p w:rsidR="00146F6C" w:rsidRPr="00E46E0A" w:rsidRDefault="00146F6C" w:rsidP="00E46E0A">
      <w:pPr>
        <w:pStyle w:val="ListParagraph"/>
        <w:numPr>
          <w:ilvl w:val="0"/>
          <w:numId w:val="4"/>
        </w:numPr>
        <w:spacing w:after="0" w:line="259" w:lineRule="auto"/>
        <w:ind w:right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The Median Gender Pay Gap is </w:t>
      </w:r>
      <w:r w:rsidR="00F60B74">
        <w:rPr>
          <w:rFonts w:ascii="Tahoma" w:hAnsi="Tahoma" w:cs="Tahoma"/>
          <w:sz w:val="21"/>
          <w:szCs w:val="21"/>
        </w:rPr>
        <w:t>4</w:t>
      </w:r>
      <w:r w:rsidR="005B6C20">
        <w:rPr>
          <w:rFonts w:ascii="Tahoma" w:hAnsi="Tahoma" w:cs="Tahoma"/>
          <w:sz w:val="21"/>
          <w:szCs w:val="21"/>
        </w:rPr>
        <w:t>4.5</w:t>
      </w:r>
      <w:r w:rsidRPr="00E46E0A">
        <w:rPr>
          <w:rFonts w:ascii="Tahoma" w:hAnsi="Tahoma" w:cs="Tahoma"/>
          <w:sz w:val="21"/>
          <w:szCs w:val="21"/>
        </w:rPr>
        <w:t xml:space="preserve">% </w:t>
      </w:r>
    </w:p>
    <w:p w:rsidR="00146F6C" w:rsidRPr="00E46E0A" w:rsidRDefault="00146F6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 </w:t>
      </w:r>
    </w:p>
    <w:p w:rsidR="00146F6C" w:rsidRPr="00E46E0A" w:rsidRDefault="00146F6C" w:rsidP="00146F6C">
      <w:pPr>
        <w:ind w:left="-5" w:right="0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These figures show the average difference in the hourly rate of pay across men and women in the Trust.   </w:t>
      </w:r>
    </w:p>
    <w:p w:rsidR="00146F6C" w:rsidRPr="00E46E0A" w:rsidRDefault="00146F6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 </w:t>
      </w:r>
    </w:p>
    <w:p w:rsidR="00146F6C" w:rsidRPr="00E46E0A" w:rsidRDefault="00E46E0A" w:rsidP="00146F6C">
      <w:pPr>
        <w:spacing w:after="0" w:line="259" w:lineRule="auto"/>
        <w:ind w:left="-5" w:right="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Bonus Pay</w:t>
      </w:r>
    </w:p>
    <w:p w:rsidR="00146F6C" w:rsidRPr="00E46E0A" w:rsidRDefault="00146F6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b/>
          <w:sz w:val="21"/>
          <w:szCs w:val="21"/>
        </w:rPr>
        <w:t xml:space="preserve"> </w:t>
      </w:r>
    </w:p>
    <w:p w:rsidR="00146F6C" w:rsidRPr="00E46E0A" w:rsidRDefault="00146F6C" w:rsidP="00E46E0A">
      <w:pPr>
        <w:ind w:right="0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>The Bay Learning trust did not operate a bonus pay system on the snapshot date, or within the 12 months previous to the snapshot date.</w:t>
      </w:r>
    </w:p>
    <w:p w:rsidR="00146F6C" w:rsidRPr="00E46E0A" w:rsidRDefault="00146F6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b/>
          <w:sz w:val="21"/>
          <w:szCs w:val="21"/>
        </w:rPr>
        <w:t xml:space="preserve"> </w:t>
      </w:r>
    </w:p>
    <w:p w:rsidR="00146F6C" w:rsidRPr="00E46E0A" w:rsidRDefault="00E46E0A" w:rsidP="00146F6C">
      <w:pPr>
        <w:spacing w:after="0" w:line="259" w:lineRule="auto"/>
        <w:ind w:left="-5" w:right="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Pay Quartiles</w:t>
      </w:r>
    </w:p>
    <w:p w:rsidR="00146F6C" w:rsidRPr="00E46E0A" w:rsidRDefault="00146F6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 </w:t>
      </w:r>
    </w:p>
    <w:p w:rsidR="00146F6C" w:rsidRPr="00E46E0A" w:rsidRDefault="00146F6C" w:rsidP="00146F6C">
      <w:pPr>
        <w:ind w:left="-5" w:right="0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All relevant employees were listed separately by gender and were ranked according to their hourly rate of pay from lowest to highest. This was then split into 4 equal quartiles to show the proportion of male and female staff within the pay quartiles:  </w:t>
      </w:r>
    </w:p>
    <w:p w:rsidR="00146F6C" w:rsidRPr="00E46E0A" w:rsidRDefault="00146F6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 </w:t>
      </w:r>
    </w:p>
    <w:tbl>
      <w:tblPr>
        <w:tblStyle w:val="TableGrid"/>
        <w:tblW w:w="9628" w:type="dxa"/>
        <w:tblInd w:w="7" w:type="dxa"/>
        <w:tblCellMar>
          <w:top w:w="11" w:type="dxa"/>
          <w:right w:w="100" w:type="dxa"/>
        </w:tblCellMar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37404A" w:rsidRPr="00E46E0A" w:rsidTr="0037404A">
        <w:trPr>
          <w:trHeight w:val="286"/>
        </w:trPr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404A" w:rsidRPr="00E46E0A" w:rsidRDefault="0037404A" w:rsidP="0061553B">
            <w:pPr>
              <w:spacing w:after="0" w:line="259" w:lineRule="auto"/>
              <w:ind w:left="164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46E0A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404A" w:rsidRPr="00E46E0A" w:rsidRDefault="0037404A" w:rsidP="0037404A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46E0A">
              <w:rPr>
                <w:rFonts w:ascii="Tahoma" w:hAnsi="Tahoma" w:cs="Tahoma"/>
                <w:b/>
                <w:sz w:val="21"/>
                <w:szCs w:val="21"/>
              </w:rPr>
              <w:t>Gender</w:t>
            </w:r>
          </w:p>
        </w:tc>
      </w:tr>
      <w:tr w:rsidR="00C47784" w:rsidRPr="00E46E0A" w:rsidTr="0061553B">
        <w:trPr>
          <w:trHeight w:val="28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84" w:rsidRPr="00E46E0A" w:rsidRDefault="00C47784" w:rsidP="00C47784">
            <w:pPr>
              <w:spacing w:after="0" w:line="259" w:lineRule="auto"/>
              <w:ind w:left="98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46E0A">
              <w:rPr>
                <w:rFonts w:ascii="Tahoma" w:hAnsi="Tahoma" w:cs="Tahoma"/>
                <w:b/>
                <w:sz w:val="21"/>
                <w:szCs w:val="21"/>
              </w:rPr>
              <w:t xml:space="preserve">Quartile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84" w:rsidRPr="00E46E0A" w:rsidRDefault="00C47784" w:rsidP="00C47784">
            <w:pPr>
              <w:spacing w:after="0" w:line="259" w:lineRule="auto"/>
              <w:ind w:left="10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46E0A">
              <w:rPr>
                <w:rFonts w:ascii="Tahoma" w:hAnsi="Tahoma" w:cs="Tahoma"/>
                <w:b/>
                <w:sz w:val="21"/>
                <w:szCs w:val="21"/>
              </w:rPr>
              <w:t xml:space="preserve">Female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784" w:rsidRPr="00E46E0A" w:rsidRDefault="00C47784" w:rsidP="00C47784">
            <w:pPr>
              <w:spacing w:after="0" w:line="259" w:lineRule="auto"/>
              <w:ind w:left="10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46E0A">
              <w:rPr>
                <w:rFonts w:ascii="Tahoma" w:hAnsi="Tahoma" w:cs="Tahoma"/>
                <w:b/>
                <w:sz w:val="21"/>
                <w:szCs w:val="21"/>
              </w:rPr>
              <w:t>Male</w:t>
            </w:r>
          </w:p>
        </w:tc>
      </w:tr>
      <w:tr w:rsidR="00C47784" w:rsidRPr="00E46E0A" w:rsidTr="0061553B">
        <w:trPr>
          <w:trHeight w:val="287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C47784" w:rsidP="00C47784">
            <w:pPr>
              <w:spacing w:after="0" w:line="259" w:lineRule="auto"/>
              <w:ind w:left="98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46E0A">
              <w:rPr>
                <w:rFonts w:ascii="Tahoma" w:hAnsi="Tahoma" w:cs="Tahoma"/>
                <w:sz w:val="21"/>
                <w:szCs w:val="21"/>
              </w:rPr>
              <w:t>Lower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F60B74" w:rsidP="00C47784">
            <w:pPr>
              <w:spacing w:after="0" w:line="259" w:lineRule="auto"/>
              <w:ind w:left="10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79.9%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F60B74" w:rsidP="00C47784">
            <w:pPr>
              <w:spacing w:after="0" w:line="259" w:lineRule="auto"/>
              <w:ind w:left="98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20.1%</w:t>
            </w:r>
            <w:r w:rsidR="00C47784" w:rsidRPr="00E46E0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C47784" w:rsidRPr="00E46E0A" w:rsidTr="0061553B">
        <w:trPr>
          <w:trHeight w:val="28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C47784" w:rsidP="00C47784">
            <w:pPr>
              <w:spacing w:after="0" w:line="259" w:lineRule="auto"/>
              <w:ind w:left="98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46E0A">
              <w:rPr>
                <w:rFonts w:ascii="Tahoma" w:hAnsi="Tahoma" w:cs="Tahoma"/>
                <w:sz w:val="21"/>
                <w:szCs w:val="21"/>
              </w:rPr>
              <w:t>Low to Middle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F60B74" w:rsidP="00C47784">
            <w:pPr>
              <w:spacing w:after="0" w:line="259" w:lineRule="auto"/>
              <w:ind w:left="10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75.0%</w:t>
            </w:r>
            <w:r w:rsidR="00C47784" w:rsidRPr="00E46E0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F60B74" w:rsidP="00C47784">
            <w:pPr>
              <w:spacing w:after="0" w:line="259" w:lineRule="auto"/>
              <w:ind w:left="98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25.0%</w:t>
            </w:r>
            <w:r w:rsidR="00C47784" w:rsidRPr="00E46E0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C47784" w:rsidRPr="00E46E0A" w:rsidTr="0061553B">
        <w:trPr>
          <w:trHeight w:val="28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C47784" w:rsidP="00C47784">
            <w:pPr>
              <w:spacing w:after="0" w:line="259" w:lineRule="auto"/>
              <w:ind w:left="98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46E0A">
              <w:rPr>
                <w:rFonts w:ascii="Tahoma" w:hAnsi="Tahoma" w:cs="Tahoma"/>
                <w:sz w:val="21"/>
                <w:szCs w:val="21"/>
              </w:rPr>
              <w:t>Middle to High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F60B74" w:rsidP="00C47784">
            <w:pPr>
              <w:spacing w:after="0" w:line="259" w:lineRule="auto"/>
              <w:ind w:left="10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62.2%</w:t>
            </w:r>
            <w:r w:rsidR="00C47784" w:rsidRPr="00E46E0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F60B74" w:rsidP="00C47784">
            <w:pPr>
              <w:spacing w:after="0" w:line="259" w:lineRule="auto"/>
              <w:ind w:left="98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37.8%</w:t>
            </w:r>
            <w:r w:rsidR="00C47784" w:rsidRPr="00E46E0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C47784" w:rsidRPr="00E46E0A" w:rsidTr="0061553B">
        <w:trPr>
          <w:trHeight w:val="28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C47784" w:rsidP="00C47784">
            <w:pPr>
              <w:spacing w:after="0" w:line="259" w:lineRule="auto"/>
              <w:ind w:left="98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E46E0A">
              <w:rPr>
                <w:rFonts w:ascii="Tahoma" w:hAnsi="Tahoma" w:cs="Tahoma"/>
                <w:sz w:val="21"/>
                <w:szCs w:val="21"/>
              </w:rPr>
              <w:t>Higher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F60B74" w:rsidP="00C47784">
            <w:pPr>
              <w:spacing w:after="0" w:line="259" w:lineRule="auto"/>
              <w:ind w:left="10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66.9%</w:t>
            </w:r>
            <w:r w:rsidR="00C47784" w:rsidRPr="00E46E0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84" w:rsidRPr="00E46E0A" w:rsidRDefault="00F60B74" w:rsidP="00C47784">
            <w:pPr>
              <w:spacing w:after="0" w:line="259" w:lineRule="auto"/>
              <w:ind w:left="98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33.1%</w:t>
            </w:r>
            <w:r w:rsidR="00C47784" w:rsidRPr="00E46E0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</w:tbl>
    <w:p w:rsidR="00146F6C" w:rsidRPr="00E46E0A" w:rsidRDefault="00146F6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b/>
          <w:sz w:val="21"/>
          <w:szCs w:val="21"/>
        </w:rPr>
        <w:t xml:space="preserve"> </w:t>
      </w:r>
    </w:p>
    <w:p w:rsidR="002C3C5E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sz w:val="21"/>
          <w:szCs w:val="21"/>
        </w:rPr>
      </w:pPr>
    </w:p>
    <w:p w:rsidR="002C3C5E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sz w:val="21"/>
          <w:szCs w:val="21"/>
        </w:rPr>
      </w:pPr>
    </w:p>
    <w:p w:rsidR="002C3C5E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sz w:val="21"/>
          <w:szCs w:val="21"/>
        </w:rPr>
      </w:pPr>
    </w:p>
    <w:p w:rsidR="002C3C5E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sz w:val="21"/>
          <w:szCs w:val="21"/>
        </w:rPr>
      </w:pPr>
    </w:p>
    <w:p w:rsidR="002C3C5E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sz w:val="21"/>
          <w:szCs w:val="21"/>
        </w:rPr>
      </w:pPr>
    </w:p>
    <w:p w:rsidR="002C3C5E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sz w:val="21"/>
          <w:szCs w:val="21"/>
        </w:rPr>
      </w:pPr>
    </w:p>
    <w:p w:rsidR="002C3C5E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sz w:val="21"/>
          <w:szCs w:val="21"/>
        </w:rPr>
      </w:pPr>
    </w:p>
    <w:p w:rsidR="002C3C5E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sz w:val="21"/>
          <w:szCs w:val="21"/>
        </w:rPr>
      </w:pPr>
    </w:p>
    <w:p w:rsidR="00146F6C" w:rsidRPr="00A03756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 w:rsidRPr="00A03756">
        <w:rPr>
          <w:rFonts w:ascii="Tahoma" w:hAnsi="Tahoma" w:cs="Tahoma"/>
          <w:sz w:val="21"/>
          <w:szCs w:val="21"/>
        </w:rPr>
        <w:lastRenderedPageBreak/>
        <w:t xml:space="preserve">As an employer within the secondary school education setting, we predominantly employee people under two different sets of terms and conditions – Teaching Staff and Support Staff.  </w:t>
      </w:r>
    </w:p>
    <w:p w:rsidR="002C3C5E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sz w:val="21"/>
          <w:szCs w:val="21"/>
        </w:rPr>
      </w:pPr>
    </w:p>
    <w:p w:rsidR="002C3C5E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The breakdown of employees under these terms and conditions are:</w:t>
      </w:r>
    </w:p>
    <w:p w:rsidR="002C3C5E" w:rsidRDefault="002C3C5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sz w:val="21"/>
          <w:szCs w:val="21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2708D" w:rsidTr="0012708D">
        <w:trPr>
          <w:trHeight w:val="340"/>
        </w:trPr>
        <w:tc>
          <w:tcPr>
            <w:tcW w:w="1925" w:type="dxa"/>
            <w:tcBorders>
              <w:top w:val="nil"/>
              <w:left w:val="nil"/>
              <w:bottom w:val="nil"/>
            </w:tcBorders>
            <w:vAlign w:val="center"/>
          </w:tcPr>
          <w:p w:rsid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703" w:type="dxa"/>
            <w:gridSpan w:val="4"/>
            <w:vAlign w:val="center"/>
          </w:tcPr>
          <w:p w:rsidR="0012708D" w:rsidRP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12708D">
              <w:rPr>
                <w:rFonts w:ascii="Tahoma" w:hAnsi="Tahoma" w:cs="Tahoma"/>
                <w:b/>
                <w:sz w:val="21"/>
                <w:szCs w:val="21"/>
              </w:rPr>
              <w:t>Support staff</w:t>
            </w:r>
          </w:p>
        </w:tc>
      </w:tr>
      <w:tr w:rsidR="0012708D" w:rsidTr="003C6EE4">
        <w:trPr>
          <w:trHeight w:val="340"/>
        </w:trPr>
        <w:tc>
          <w:tcPr>
            <w:tcW w:w="1925" w:type="dxa"/>
            <w:tcBorders>
              <w:top w:val="nil"/>
              <w:left w:val="nil"/>
            </w:tcBorders>
            <w:vAlign w:val="center"/>
          </w:tcPr>
          <w:p w:rsid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851" w:type="dxa"/>
            <w:gridSpan w:val="2"/>
            <w:shd w:val="clear" w:color="auto" w:fill="D9E2F3" w:themeFill="accent5" w:themeFillTint="33"/>
            <w:vAlign w:val="center"/>
          </w:tcPr>
          <w:p w:rsid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No management responsibility</w:t>
            </w:r>
          </w:p>
        </w:tc>
        <w:tc>
          <w:tcPr>
            <w:tcW w:w="3852" w:type="dxa"/>
            <w:gridSpan w:val="2"/>
            <w:shd w:val="clear" w:color="auto" w:fill="FBE4D5" w:themeFill="accent2" w:themeFillTint="33"/>
            <w:vAlign w:val="center"/>
          </w:tcPr>
          <w:p w:rsid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Management responsibility</w:t>
            </w:r>
          </w:p>
        </w:tc>
      </w:tr>
      <w:tr w:rsidR="0012708D" w:rsidTr="003C6EE4">
        <w:trPr>
          <w:trHeight w:val="340"/>
        </w:trPr>
        <w:tc>
          <w:tcPr>
            <w:tcW w:w="1925" w:type="dxa"/>
            <w:vAlign w:val="center"/>
          </w:tcPr>
          <w:p w:rsid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Gender</w:t>
            </w:r>
          </w:p>
        </w:tc>
        <w:tc>
          <w:tcPr>
            <w:tcW w:w="1925" w:type="dxa"/>
            <w:shd w:val="clear" w:color="auto" w:fill="D9E2F3" w:themeFill="accent5" w:themeFillTint="33"/>
            <w:vAlign w:val="center"/>
          </w:tcPr>
          <w:p w:rsid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No of employees</w:t>
            </w:r>
          </w:p>
        </w:tc>
        <w:tc>
          <w:tcPr>
            <w:tcW w:w="1926" w:type="dxa"/>
            <w:shd w:val="clear" w:color="auto" w:fill="D9E2F3" w:themeFill="accent5" w:themeFillTint="33"/>
            <w:vAlign w:val="center"/>
          </w:tcPr>
          <w:p w:rsid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Mean hourly rate</w:t>
            </w:r>
          </w:p>
        </w:tc>
        <w:tc>
          <w:tcPr>
            <w:tcW w:w="1926" w:type="dxa"/>
            <w:shd w:val="clear" w:color="auto" w:fill="FBE4D5" w:themeFill="accent2" w:themeFillTint="33"/>
            <w:vAlign w:val="center"/>
          </w:tcPr>
          <w:p w:rsid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No of employees</w:t>
            </w:r>
          </w:p>
        </w:tc>
        <w:tc>
          <w:tcPr>
            <w:tcW w:w="1926" w:type="dxa"/>
            <w:shd w:val="clear" w:color="auto" w:fill="FBE4D5" w:themeFill="accent2" w:themeFillTint="33"/>
            <w:vAlign w:val="center"/>
          </w:tcPr>
          <w:p w:rsid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Mean hourly rate</w:t>
            </w:r>
          </w:p>
        </w:tc>
      </w:tr>
      <w:tr w:rsidR="0012708D" w:rsidTr="003C6EE4">
        <w:trPr>
          <w:trHeight w:val="340"/>
        </w:trPr>
        <w:tc>
          <w:tcPr>
            <w:tcW w:w="1925" w:type="dxa"/>
            <w:vAlign w:val="center"/>
          </w:tcPr>
          <w:p w:rsid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Female</w:t>
            </w:r>
          </w:p>
        </w:tc>
        <w:tc>
          <w:tcPr>
            <w:tcW w:w="1925" w:type="dxa"/>
            <w:shd w:val="clear" w:color="auto" w:fill="D9E2F3" w:themeFill="accent5" w:themeFillTint="33"/>
            <w:vAlign w:val="center"/>
          </w:tcPr>
          <w:p w:rsidR="0012708D" w:rsidRDefault="0016778F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24</w:t>
            </w:r>
            <w:r w:rsidR="007D141D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1926" w:type="dxa"/>
            <w:shd w:val="clear" w:color="auto" w:fill="D9E2F3" w:themeFill="accent5" w:themeFillTint="33"/>
            <w:vAlign w:val="center"/>
          </w:tcPr>
          <w:p w:rsidR="0012708D" w:rsidRDefault="007D141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£11.3</w:t>
            </w:r>
            <w:r w:rsidR="00C2640F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1926" w:type="dxa"/>
            <w:shd w:val="clear" w:color="auto" w:fill="FBE4D5" w:themeFill="accent2" w:themeFillTint="33"/>
            <w:vAlign w:val="center"/>
          </w:tcPr>
          <w:p w:rsidR="0012708D" w:rsidRDefault="006E7F71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1926" w:type="dxa"/>
            <w:shd w:val="clear" w:color="auto" w:fill="FBE4D5" w:themeFill="accent2" w:themeFillTint="33"/>
            <w:vAlign w:val="center"/>
          </w:tcPr>
          <w:p w:rsidR="0012708D" w:rsidRDefault="007D141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£1</w:t>
            </w:r>
            <w:r w:rsidR="006E7F71">
              <w:rPr>
                <w:rFonts w:ascii="Tahoma" w:hAnsi="Tahoma" w:cs="Tahoma"/>
                <w:sz w:val="21"/>
                <w:szCs w:val="21"/>
              </w:rPr>
              <w:t>8.68</w:t>
            </w:r>
          </w:p>
        </w:tc>
      </w:tr>
      <w:tr w:rsidR="0012708D" w:rsidTr="003C6EE4">
        <w:trPr>
          <w:trHeight w:val="340"/>
        </w:trPr>
        <w:tc>
          <w:tcPr>
            <w:tcW w:w="1925" w:type="dxa"/>
            <w:vAlign w:val="center"/>
          </w:tcPr>
          <w:p w:rsidR="0012708D" w:rsidRDefault="0012708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Male</w:t>
            </w:r>
          </w:p>
        </w:tc>
        <w:tc>
          <w:tcPr>
            <w:tcW w:w="1925" w:type="dxa"/>
            <w:shd w:val="clear" w:color="auto" w:fill="D9E2F3" w:themeFill="accent5" w:themeFillTint="33"/>
            <w:vAlign w:val="center"/>
          </w:tcPr>
          <w:p w:rsidR="0012708D" w:rsidRDefault="0016778F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70</w:t>
            </w:r>
          </w:p>
        </w:tc>
        <w:tc>
          <w:tcPr>
            <w:tcW w:w="1926" w:type="dxa"/>
            <w:shd w:val="clear" w:color="auto" w:fill="D9E2F3" w:themeFill="accent5" w:themeFillTint="33"/>
            <w:vAlign w:val="center"/>
          </w:tcPr>
          <w:p w:rsidR="0012708D" w:rsidRDefault="006E7F71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£</w:t>
            </w:r>
            <w:r w:rsidR="007D141D">
              <w:rPr>
                <w:rFonts w:ascii="Tahoma" w:hAnsi="Tahoma" w:cs="Tahoma"/>
                <w:sz w:val="21"/>
                <w:szCs w:val="21"/>
              </w:rPr>
              <w:t>11.</w:t>
            </w:r>
            <w:r w:rsidR="00C2640F">
              <w:rPr>
                <w:rFonts w:ascii="Tahoma" w:hAnsi="Tahoma" w:cs="Tahoma"/>
                <w:sz w:val="21"/>
                <w:szCs w:val="21"/>
              </w:rPr>
              <w:t>59</w:t>
            </w:r>
          </w:p>
        </w:tc>
        <w:tc>
          <w:tcPr>
            <w:tcW w:w="1926" w:type="dxa"/>
            <w:shd w:val="clear" w:color="auto" w:fill="FBE4D5" w:themeFill="accent2" w:themeFillTint="33"/>
            <w:vAlign w:val="center"/>
          </w:tcPr>
          <w:p w:rsidR="0012708D" w:rsidRDefault="007D141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1926" w:type="dxa"/>
            <w:shd w:val="clear" w:color="auto" w:fill="FBE4D5" w:themeFill="accent2" w:themeFillTint="33"/>
            <w:vAlign w:val="center"/>
          </w:tcPr>
          <w:p w:rsidR="0012708D" w:rsidRDefault="007D141D" w:rsidP="0012708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£18.59</w:t>
            </w:r>
          </w:p>
        </w:tc>
      </w:tr>
    </w:tbl>
    <w:p w:rsidR="0012708D" w:rsidRDefault="0012708D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2708D" w:rsidTr="0012708D">
        <w:trPr>
          <w:trHeight w:val="340"/>
        </w:trPr>
        <w:tc>
          <w:tcPr>
            <w:tcW w:w="1925" w:type="dxa"/>
            <w:tcBorders>
              <w:top w:val="nil"/>
              <w:left w:val="nil"/>
              <w:bottom w:val="nil"/>
            </w:tcBorders>
            <w:vAlign w:val="center"/>
          </w:tcPr>
          <w:p w:rsid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703" w:type="dxa"/>
            <w:gridSpan w:val="4"/>
            <w:vAlign w:val="center"/>
          </w:tcPr>
          <w:p w:rsidR="0012708D" w:rsidRP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12708D">
              <w:rPr>
                <w:rFonts w:ascii="Tahoma" w:hAnsi="Tahoma" w:cs="Tahoma"/>
                <w:b/>
                <w:sz w:val="21"/>
                <w:szCs w:val="21"/>
              </w:rPr>
              <w:t>Teaching Staff</w:t>
            </w:r>
          </w:p>
        </w:tc>
      </w:tr>
      <w:tr w:rsidR="0012708D" w:rsidTr="003C6EE4">
        <w:trPr>
          <w:trHeight w:val="340"/>
        </w:trPr>
        <w:tc>
          <w:tcPr>
            <w:tcW w:w="1925" w:type="dxa"/>
            <w:tcBorders>
              <w:top w:val="nil"/>
              <w:left w:val="nil"/>
            </w:tcBorders>
            <w:vAlign w:val="center"/>
          </w:tcPr>
          <w:p w:rsid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851" w:type="dxa"/>
            <w:gridSpan w:val="2"/>
            <w:shd w:val="clear" w:color="auto" w:fill="9CC2E5" w:themeFill="accent1" w:themeFillTint="99"/>
            <w:vAlign w:val="center"/>
          </w:tcPr>
          <w:p w:rsid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No management responsibility</w:t>
            </w:r>
          </w:p>
        </w:tc>
        <w:tc>
          <w:tcPr>
            <w:tcW w:w="3852" w:type="dxa"/>
            <w:gridSpan w:val="2"/>
            <w:shd w:val="clear" w:color="auto" w:fill="F7CAAC" w:themeFill="accent2" w:themeFillTint="66"/>
            <w:vAlign w:val="center"/>
          </w:tcPr>
          <w:p w:rsid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Management responsibility</w:t>
            </w:r>
          </w:p>
        </w:tc>
      </w:tr>
      <w:tr w:rsidR="0012708D" w:rsidTr="003C6EE4">
        <w:trPr>
          <w:trHeight w:val="340"/>
        </w:trPr>
        <w:tc>
          <w:tcPr>
            <w:tcW w:w="1925" w:type="dxa"/>
            <w:vAlign w:val="center"/>
          </w:tcPr>
          <w:p w:rsid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Gender</w:t>
            </w:r>
          </w:p>
        </w:tc>
        <w:tc>
          <w:tcPr>
            <w:tcW w:w="1925" w:type="dxa"/>
            <w:shd w:val="clear" w:color="auto" w:fill="9CC2E5" w:themeFill="accent1" w:themeFillTint="99"/>
            <w:vAlign w:val="center"/>
          </w:tcPr>
          <w:p w:rsid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No of employees</w:t>
            </w:r>
          </w:p>
        </w:tc>
        <w:tc>
          <w:tcPr>
            <w:tcW w:w="1926" w:type="dxa"/>
            <w:shd w:val="clear" w:color="auto" w:fill="9CC2E5" w:themeFill="accent1" w:themeFillTint="99"/>
            <w:vAlign w:val="center"/>
          </w:tcPr>
          <w:p w:rsid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Mean hourly rate</w:t>
            </w:r>
          </w:p>
        </w:tc>
        <w:tc>
          <w:tcPr>
            <w:tcW w:w="1926" w:type="dxa"/>
            <w:shd w:val="clear" w:color="auto" w:fill="F7CAAC" w:themeFill="accent2" w:themeFillTint="66"/>
            <w:vAlign w:val="center"/>
          </w:tcPr>
          <w:p w:rsid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No of employees</w:t>
            </w:r>
          </w:p>
        </w:tc>
        <w:tc>
          <w:tcPr>
            <w:tcW w:w="1926" w:type="dxa"/>
            <w:shd w:val="clear" w:color="auto" w:fill="F7CAAC" w:themeFill="accent2" w:themeFillTint="66"/>
            <w:vAlign w:val="center"/>
          </w:tcPr>
          <w:p w:rsid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Mean hourly rate</w:t>
            </w:r>
          </w:p>
        </w:tc>
      </w:tr>
      <w:tr w:rsidR="0012708D" w:rsidTr="003C6EE4">
        <w:trPr>
          <w:trHeight w:val="340"/>
        </w:trPr>
        <w:tc>
          <w:tcPr>
            <w:tcW w:w="1925" w:type="dxa"/>
            <w:vAlign w:val="center"/>
          </w:tcPr>
          <w:p w:rsid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Female</w:t>
            </w:r>
          </w:p>
        </w:tc>
        <w:tc>
          <w:tcPr>
            <w:tcW w:w="1925" w:type="dxa"/>
            <w:shd w:val="clear" w:color="auto" w:fill="9CC2E5" w:themeFill="accent1" w:themeFillTint="99"/>
            <w:vAlign w:val="center"/>
          </w:tcPr>
          <w:p w:rsidR="0012708D" w:rsidRDefault="003C6EE4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95</w:t>
            </w:r>
          </w:p>
        </w:tc>
        <w:tc>
          <w:tcPr>
            <w:tcW w:w="1926" w:type="dxa"/>
            <w:shd w:val="clear" w:color="auto" w:fill="9CC2E5" w:themeFill="accent1" w:themeFillTint="99"/>
            <w:vAlign w:val="center"/>
          </w:tcPr>
          <w:p w:rsidR="0012708D" w:rsidRDefault="007D141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£28.64</w:t>
            </w:r>
          </w:p>
        </w:tc>
        <w:tc>
          <w:tcPr>
            <w:tcW w:w="1926" w:type="dxa"/>
            <w:shd w:val="clear" w:color="auto" w:fill="F7CAAC" w:themeFill="accent2" w:themeFillTint="66"/>
            <w:vAlign w:val="center"/>
          </w:tcPr>
          <w:p w:rsidR="0012708D" w:rsidRDefault="003C6EE4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72</w:t>
            </w:r>
          </w:p>
        </w:tc>
        <w:tc>
          <w:tcPr>
            <w:tcW w:w="1926" w:type="dxa"/>
            <w:shd w:val="clear" w:color="auto" w:fill="F7CAAC" w:themeFill="accent2" w:themeFillTint="66"/>
            <w:vAlign w:val="center"/>
          </w:tcPr>
          <w:p w:rsidR="0012708D" w:rsidRDefault="007D141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£40.71</w:t>
            </w:r>
          </w:p>
        </w:tc>
      </w:tr>
      <w:tr w:rsidR="0012708D" w:rsidTr="003C6EE4">
        <w:trPr>
          <w:trHeight w:val="340"/>
        </w:trPr>
        <w:tc>
          <w:tcPr>
            <w:tcW w:w="1925" w:type="dxa"/>
            <w:vAlign w:val="center"/>
          </w:tcPr>
          <w:p w:rsidR="0012708D" w:rsidRDefault="0012708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Male</w:t>
            </w:r>
          </w:p>
        </w:tc>
        <w:tc>
          <w:tcPr>
            <w:tcW w:w="1925" w:type="dxa"/>
            <w:shd w:val="clear" w:color="auto" w:fill="9CC2E5" w:themeFill="accent1" w:themeFillTint="99"/>
            <w:vAlign w:val="center"/>
          </w:tcPr>
          <w:p w:rsidR="0012708D" w:rsidRDefault="003C6EE4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45</w:t>
            </w:r>
          </w:p>
        </w:tc>
        <w:tc>
          <w:tcPr>
            <w:tcW w:w="1926" w:type="dxa"/>
            <w:shd w:val="clear" w:color="auto" w:fill="9CC2E5" w:themeFill="accent1" w:themeFillTint="99"/>
            <w:vAlign w:val="center"/>
          </w:tcPr>
          <w:p w:rsidR="0012708D" w:rsidRDefault="007D141D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£29.</w:t>
            </w:r>
            <w:r w:rsidR="00C2640F">
              <w:rPr>
                <w:rFonts w:ascii="Tahoma" w:hAnsi="Tahoma" w:cs="Tahoma"/>
                <w:sz w:val="21"/>
                <w:szCs w:val="21"/>
              </w:rPr>
              <w:t>85</w:t>
            </w:r>
          </w:p>
        </w:tc>
        <w:tc>
          <w:tcPr>
            <w:tcW w:w="1926" w:type="dxa"/>
            <w:shd w:val="clear" w:color="auto" w:fill="F7CAAC" w:themeFill="accent2" w:themeFillTint="66"/>
            <w:vAlign w:val="center"/>
          </w:tcPr>
          <w:p w:rsidR="0012708D" w:rsidRDefault="003C6EE4" w:rsidP="002D364F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  <w:r w:rsidR="007D141D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1926" w:type="dxa"/>
            <w:shd w:val="clear" w:color="auto" w:fill="F7CAAC" w:themeFill="accent2" w:themeFillTint="66"/>
            <w:vAlign w:val="center"/>
          </w:tcPr>
          <w:p w:rsidR="007D141D" w:rsidRDefault="007D141D" w:rsidP="007D141D">
            <w:pPr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£40.71</w:t>
            </w:r>
          </w:p>
        </w:tc>
      </w:tr>
    </w:tbl>
    <w:p w:rsidR="0012708D" w:rsidRDefault="0012708D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</w:p>
    <w:p w:rsidR="0012708D" w:rsidRDefault="0012708D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</w:p>
    <w:p w:rsidR="0012708D" w:rsidRPr="00E46E0A" w:rsidRDefault="0012708D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</w:p>
    <w:p w:rsidR="00146F6C" w:rsidRPr="00E46E0A" w:rsidRDefault="00146F6C" w:rsidP="00146F6C">
      <w:pPr>
        <w:spacing w:after="0" w:line="259" w:lineRule="auto"/>
        <w:ind w:left="-5" w:right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b/>
          <w:sz w:val="21"/>
          <w:szCs w:val="21"/>
        </w:rPr>
        <w:t xml:space="preserve">What does the data tell us?  </w:t>
      </w:r>
    </w:p>
    <w:p w:rsidR="00146F6C" w:rsidRPr="00E46E0A" w:rsidRDefault="00146F6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 </w:t>
      </w:r>
    </w:p>
    <w:p w:rsidR="0019702F" w:rsidRDefault="0019702F" w:rsidP="00146F6C">
      <w:pPr>
        <w:numPr>
          <w:ilvl w:val="0"/>
          <w:numId w:val="1"/>
        </w:numPr>
        <w:ind w:right="0" w:hanging="360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>There is a higher proportion of female employees employed across the Trust as a whole</w:t>
      </w:r>
    </w:p>
    <w:p w:rsidR="002C3C5E" w:rsidRDefault="002C3C5E" w:rsidP="00146F6C">
      <w:pPr>
        <w:numPr>
          <w:ilvl w:val="0"/>
          <w:numId w:val="1"/>
        </w:numPr>
        <w:ind w:right="0" w:hanging="3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There is a higher proportion of female e</w:t>
      </w:r>
      <w:r w:rsidR="00A03756">
        <w:rPr>
          <w:rFonts w:ascii="Tahoma" w:hAnsi="Tahoma" w:cs="Tahoma"/>
          <w:sz w:val="21"/>
          <w:szCs w:val="21"/>
        </w:rPr>
        <w:t>mployees who are employed as support staff in lower paid roles e.g. cleaners, welfare assistants, catering assistants, administration assistants</w:t>
      </w:r>
    </w:p>
    <w:p w:rsidR="00146F6C" w:rsidRPr="00E46E0A" w:rsidRDefault="0019702F" w:rsidP="00146F6C">
      <w:pPr>
        <w:numPr>
          <w:ilvl w:val="0"/>
          <w:numId w:val="1"/>
        </w:numPr>
        <w:ind w:right="0" w:hanging="360"/>
        <w:rPr>
          <w:rFonts w:ascii="Tahoma" w:hAnsi="Tahoma" w:cs="Tahoma"/>
          <w:sz w:val="21"/>
          <w:szCs w:val="21"/>
        </w:rPr>
      </w:pPr>
      <w:r w:rsidRPr="00E46E0A">
        <w:rPr>
          <w:rFonts w:ascii="Tahoma" w:hAnsi="Tahoma" w:cs="Tahoma"/>
          <w:sz w:val="21"/>
          <w:szCs w:val="21"/>
        </w:rPr>
        <w:t xml:space="preserve">There is a </w:t>
      </w:r>
      <w:r w:rsidR="00C47784" w:rsidRPr="00E46E0A">
        <w:rPr>
          <w:rFonts w:ascii="Tahoma" w:hAnsi="Tahoma" w:cs="Tahoma"/>
          <w:sz w:val="21"/>
          <w:szCs w:val="21"/>
        </w:rPr>
        <w:t>higher proportion of female employees in all four qua</w:t>
      </w:r>
      <w:r w:rsidRPr="00E46E0A">
        <w:rPr>
          <w:rFonts w:ascii="Tahoma" w:hAnsi="Tahoma" w:cs="Tahoma"/>
          <w:sz w:val="21"/>
          <w:szCs w:val="21"/>
        </w:rPr>
        <w:t>r</w:t>
      </w:r>
      <w:r w:rsidR="00C47784" w:rsidRPr="00E46E0A">
        <w:rPr>
          <w:rFonts w:ascii="Tahoma" w:hAnsi="Tahoma" w:cs="Tahoma"/>
          <w:sz w:val="21"/>
          <w:szCs w:val="21"/>
        </w:rPr>
        <w:t>tiles</w:t>
      </w:r>
    </w:p>
    <w:p w:rsidR="0019702F" w:rsidRPr="00E46E0A" w:rsidRDefault="0019702F" w:rsidP="00E46E0A">
      <w:pPr>
        <w:ind w:left="720" w:right="0" w:firstLine="0"/>
        <w:rPr>
          <w:rFonts w:ascii="Tahoma" w:hAnsi="Tahoma" w:cs="Tahoma"/>
          <w:sz w:val="21"/>
          <w:szCs w:val="21"/>
        </w:rPr>
      </w:pPr>
    </w:p>
    <w:p w:rsidR="00C10993" w:rsidRPr="00C10993" w:rsidRDefault="00C10993" w:rsidP="00C10993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The Bay Learning Trust</w:t>
      </w:r>
      <w:r w:rsidRPr="00C10993">
        <w:rPr>
          <w:rFonts w:ascii="Tahoma" w:hAnsi="Tahoma" w:cs="Tahoma"/>
          <w:sz w:val="21"/>
          <w:szCs w:val="21"/>
        </w:rPr>
        <w:t xml:space="preserve"> will continue to monitor and review the </w:t>
      </w:r>
      <w:r>
        <w:rPr>
          <w:rFonts w:ascii="Tahoma" w:hAnsi="Tahoma" w:cs="Tahoma"/>
          <w:sz w:val="21"/>
          <w:szCs w:val="21"/>
        </w:rPr>
        <w:t xml:space="preserve">reasons for the </w:t>
      </w:r>
      <w:r w:rsidRPr="00C10993">
        <w:rPr>
          <w:rFonts w:ascii="Tahoma" w:hAnsi="Tahoma" w:cs="Tahoma"/>
          <w:sz w:val="21"/>
          <w:szCs w:val="21"/>
        </w:rPr>
        <w:t>G</w:t>
      </w:r>
      <w:r>
        <w:rPr>
          <w:rFonts w:ascii="Tahoma" w:hAnsi="Tahoma" w:cs="Tahoma"/>
          <w:sz w:val="21"/>
          <w:szCs w:val="21"/>
        </w:rPr>
        <w:t xml:space="preserve">ender </w:t>
      </w:r>
      <w:r w:rsidRPr="00C10993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 xml:space="preserve">ay </w:t>
      </w:r>
      <w:r w:rsidRPr="00C10993">
        <w:rPr>
          <w:rFonts w:ascii="Tahoma" w:hAnsi="Tahoma" w:cs="Tahoma"/>
          <w:sz w:val="21"/>
          <w:szCs w:val="21"/>
        </w:rPr>
        <w:t>G</w:t>
      </w:r>
      <w:r>
        <w:rPr>
          <w:rFonts w:ascii="Tahoma" w:hAnsi="Tahoma" w:cs="Tahoma"/>
          <w:sz w:val="21"/>
          <w:szCs w:val="21"/>
        </w:rPr>
        <w:t>ap</w:t>
      </w:r>
      <w:r w:rsidRPr="00C10993">
        <w:rPr>
          <w:rFonts w:ascii="Tahoma" w:hAnsi="Tahoma" w:cs="Tahoma"/>
          <w:sz w:val="21"/>
          <w:szCs w:val="21"/>
        </w:rPr>
        <w:t xml:space="preserve"> and </w:t>
      </w:r>
      <w:r>
        <w:rPr>
          <w:rFonts w:ascii="Tahoma" w:hAnsi="Tahoma" w:cs="Tahoma"/>
          <w:sz w:val="21"/>
          <w:szCs w:val="21"/>
        </w:rPr>
        <w:t xml:space="preserve">establish </w:t>
      </w:r>
      <w:r w:rsidRPr="00C10993">
        <w:rPr>
          <w:rFonts w:ascii="Tahoma" w:hAnsi="Tahoma" w:cs="Tahoma"/>
          <w:sz w:val="21"/>
          <w:szCs w:val="21"/>
        </w:rPr>
        <w:t xml:space="preserve">ways in which this can be reduced.  </w:t>
      </w:r>
    </w:p>
    <w:p w:rsidR="00146F6C" w:rsidRDefault="00146F6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</w:p>
    <w:p w:rsidR="008B5C8E" w:rsidRDefault="008B5C8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 confirm that this published gender pay gap information is accurate as at the snapshot date.</w:t>
      </w:r>
    </w:p>
    <w:p w:rsidR="008B5C8E" w:rsidRDefault="0054133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1408176" cy="585216"/>
            <wp:effectExtent l="0" t="0" r="1905" b="5715"/>
            <wp:wrapTight wrapText="bothSides">
              <wp:wrapPolygon edited="0">
                <wp:start x="0" y="0"/>
                <wp:lineTo x="0" y="21107"/>
                <wp:lineTo x="21337" y="21107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C8E" w:rsidRDefault="008B5C8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</w:p>
    <w:p w:rsidR="008B5C8E" w:rsidRDefault="008B5C8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</w:p>
    <w:p w:rsidR="008B5C8E" w:rsidRDefault="008B5C8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</w:p>
    <w:p w:rsidR="0054133C" w:rsidRDefault="0054133C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</w:p>
    <w:p w:rsidR="008B5C8E" w:rsidRDefault="008B5C8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Sally Kenyon</w:t>
      </w:r>
    </w:p>
    <w:p w:rsidR="008B5C8E" w:rsidRDefault="008B5C8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Chief Executive Officer</w:t>
      </w:r>
    </w:p>
    <w:p w:rsidR="008B5C8E" w:rsidRDefault="008B5C8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</w:p>
    <w:p w:rsidR="008B5C8E" w:rsidRPr="00E46E0A" w:rsidRDefault="008B5C8E" w:rsidP="00146F6C">
      <w:pPr>
        <w:spacing w:after="0" w:line="259" w:lineRule="auto"/>
        <w:ind w:left="0" w:right="0" w:firstLine="0"/>
        <w:jc w:val="lef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Date:</w:t>
      </w:r>
      <w:r w:rsidR="0054133C">
        <w:rPr>
          <w:rFonts w:ascii="Tahoma" w:hAnsi="Tahoma" w:cs="Tahoma"/>
          <w:sz w:val="21"/>
          <w:szCs w:val="21"/>
        </w:rPr>
        <w:t xml:space="preserve"> 28/03/2022</w:t>
      </w:r>
      <w:bookmarkStart w:id="0" w:name="_GoBack"/>
      <w:bookmarkEnd w:id="0"/>
    </w:p>
    <w:sectPr w:rsidR="008B5C8E" w:rsidRPr="00E46E0A" w:rsidSect="00146F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AEF" w:rsidRDefault="006F5AEF" w:rsidP="00146F6C">
      <w:pPr>
        <w:spacing w:after="0" w:line="240" w:lineRule="auto"/>
      </w:pPr>
      <w:r>
        <w:separator/>
      </w:r>
    </w:p>
  </w:endnote>
  <w:endnote w:type="continuationSeparator" w:id="0">
    <w:p w:rsidR="006F5AEF" w:rsidRDefault="006F5AEF" w:rsidP="0014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AEF" w:rsidRDefault="006F5AEF" w:rsidP="00146F6C">
      <w:pPr>
        <w:spacing w:after="0" w:line="240" w:lineRule="auto"/>
      </w:pPr>
      <w:r>
        <w:separator/>
      </w:r>
    </w:p>
  </w:footnote>
  <w:footnote w:type="continuationSeparator" w:id="0">
    <w:p w:rsidR="006F5AEF" w:rsidRDefault="006F5AEF" w:rsidP="0014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0C42"/>
    <w:multiLevelType w:val="hybridMultilevel"/>
    <w:tmpl w:val="C278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2695"/>
    <w:multiLevelType w:val="hybridMultilevel"/>
    <w:tmpl w:val="B6BCDCC8"/>
    <w:lvl w:ilvl="0" w:tplc="7458D3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EB3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656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CF9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0BB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2D1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0F4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030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88D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0D46EE"/>
    <w:multiLevelType w:val="hybridMultilevel"/>
    <w:tmpl w:val="AD42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B5AF8"/>
    <w:multiLevelType w:val="hybridMultilevel"/>
    <w:tmpl w:val="39F01FDA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6C"/>
    <w:rsid w:val="001229B7"/>
    <w:rsid w:val="0012708D"/>
    <w:rsid w:val="00146F6C"/>
    <w:rsid w:val="0016778F"/>
    <w:rsid w:val="0019702F"/>
    <w:rsid w:val="002C3C5E"/>
    <w:rsid w:val="0037404A"/>
    <w:rsid w:val="003C6EE4"/>
    <w:rsid w:val="004F4FE9"/>
    <w:rsid w:val="0054133C"/>
    <w:rsid w:val="005B6C20"/>
    <w:rsid w:val="006E7F71"/>
    <w:rsid w:val="006F5AEF"/>
    <w:rsid w:val="007D141D"/>
    <w:rsid w:val="008B5C8E"/>
    <w:rsid w:val="009B19B1"/>
    <w:rsid w:val="00A03756"/>
    <w:rsid w:val="00BA7C3D"/>
    <w:rsid w:val="00C10993"/>
    <w:rsid w:val="00C2640F"/>
    <w:rsid w:val="00C47784"/>
    <w:rsid w:val="00C6431F"/>
    <w:rsid w:val="00DF6A1A"/>
    <w:rsid w:val="00E46E0A"/>
    <w:rsid w:val="00E82A81"/>
    <w:rsid w:val="00F6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FFAD4"/>
  <w15:chartTrackingRefBased/>
  <w15:docId w15:val="{2C3570BE-C1C1-4E3E-8C17-80BEBE00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F6C"/>
    <w:pPr>
      <w:spacing w:after="3" w:line="249" w:lineRule="auto"/>
      <w:ind w:left="10" w:right="2" w:hanging="10"/>
      <w:jc w:val="both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46F6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6431F"/>
    <w:pPr>
      <w:ind w:left="720"/>
      <w:contextualSpacing/>
    </w:pPr>
  </w:style>
  <w:style w:type="table" w:styleId="TableGrid0">
    <w:name w:val="Table Grid"/>
    <w:basedOn w:val="TableNormal"/>
    <w:uiPriority w:val="39"/>
    <w:rsid w:val="002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Tyler-Cole</dc:creator>
  <cp:keywords/>
  <dc:description/>
  <cp:lastModifiedBy>Eleanor Duncan-Jameson</cp:lastModifiedBy>
  <cp:revision>2</cp:revision>
  <dcterms:created xsi:type="dcterms:W3CDTF">2022-12-06T11:18:00Z</dcterms:created>
  <dcterms:modified xsi:type="dcterms:W3CDTF">2022-12-06T11:18:00Z</dcterms:modified>
</cp:coreProperties>
</file>